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3C" w:rsidRDefault="00E6543C" w:rsidP="00130BBB">
      <w:pPr>
        <w:pStyle w:val="Zkladntext2"/>
        <w:widowControl/>
        <w:spacing w:before="60"/>
        <w:rPr>
          <w:szCs w:val="36"/>
        </w:rPr>
      </w:pPr>
    </w:p>
    <w:p w:rsidR="00130BBB" w:rsidRPr="003E2FB8" w:rsidRDefault="00130BBB" w:rsidP="00130BBB">
      <w:pPr>
        <w:pStyle w:val="Zkladntext2"/>
        <w:widowControl/>
        <w:spacing w:before="60"/>
        <w:rPr>
          <w:szCs w:val="36"/>
        </w:rPr>
      </w:pPr>
      <w:r w:rsidRPr="003E2FB8">
        <w:rPr>
          <w:szCs w:val="36"/>
        </w:rPr>
        <w:t>Statut Fondu pomoci olomouckým dětem</w:t>
      </w:r>
    </w:p>
    <w:p w:rsidR="00130BBB" w:rsidRPr="00B53ED3" w:rsidRDefault="00130BBB" w:rsidP="00130BBB">
      <w:pPr>
        <w:pStyle w:val="Zkladntext2"/>
        <w:widowControl/>
        <w:spacing w:before="60"/>
        <w:rPr>
          <w:sz w:val="32"/>
          <w:szCs w:val="32"/>
        </w:rPr>
      </w:pPr>
    </w:p>
    <w:p w:rsidR="00130BBB" w:rsidRPr="003E2FB8" w:rsidRDefault="00130BBB" w:rsidP="00130BBB">
      <w:pPr>
        <w:pStyle w:val="Zkladntext2"/>
        <w:widowControl/>
        <w:spacing w:before="60"/>
        <w:rPr>
          <w:sz w:val="24"/>
          <w:szCs w:val="24"/>
        </w:rPr>
      </w:pPr>
      <w:r w:rsidRPr="003E2FB8">
        <w:rPr>
          <w:sz w:val="24"/>
          <w:szCs w:val="24"/>
        </w:rPr>
        <w:t>zřizovaného statutárním městem Olomouc</w:t>
      </w:r>
    </w:p>
    <w:p w:rsidR="00130BBB" w:rsidRDefault="00130BBB" w:rsidP="00130BBB">
      <w:pPr>
        <w:jc w:val="center"/>
      </w:pPr>
    </w:p>
    <w:p w:rsidR="00130BBB" w:rsidRPr="00A33C84" w:rsidRDefault="00130BBB" w:rsidP="00130BBB">
      <w:pPr>
        <w:jc w:val="center"/>
      </w:pPr>
      <w:r w:rsidRPr="00A33C84">
        <w:t>Čl. 1</w:t>
      </w:r>
    </w:p>
    <w:p w:rsidR="00130BBB" w:rsidRDefault="00130BBB" w:rsidP="00130BBB">
      <w:pPr>
        <w:pStyle w:val="Nadpis7"/>
        <w:jc w:val="center"/>
      </w:pPr>
      <w:r>
        <w:t>Základní ustanovení</w:t>
      </w:r>
    </w:p>
    <w:p w:rsidR="00130BBB" w:rsidRPr="008A2B31" w:rsidRDefault="00130BBB" w:rsidP="00130BBB">
      <w:pPr>
        <w:numPr>
          <w:ilvl w:val="0"/>
          <w:numId w:val="4"/>
        </w:numPr>
        <w:tabs>
          <w:tab w:val="clear" w:pos="643"/>
          <w:tab w:val="left" w:pos="-1701"/>
          <w:tab w:val="num" w:pos="360"/>
        </w:tabs>
        <w:spacing w:before="60"/>
        <w:ind w:left="360"/>
        <w:jc w:val="both"/>
      </w:pPr>
      <w:r w:rsidRPr="008A2B31">
        <w:t xml:space="preserve">Statutární město Olomouc zřizuje Fond pomoci olomouckým dětem (dále jen „fond“) jako nástroj přímé podpory při přístupu ke vzdělávání a mimoškolním aktivitám. Fond je určen na pomoc dětem z nízkopříjmových rodin plnících povinnou školní docházku a slouží výlučně k úhradě volnočasových aktivit, školních společensko-kulturních akcí, školy v přírodě, školního lyžařského výcviku a dalších vzdělávacích akcí žákům. </w:t>
      </w:r>
    </w:p>
    <w:p w:rsidR="00130BBB" w:rsidRPr="00A33C84" w:rsidRDefault="00130BBB" w:rsidP="00130BBB">
      <w:pPr>
        <w:numPr>
          <w:ilvl w:val="0"/>
          <w:numId w:val="4"/>
        </w:numPr>
        <w:tabs>
          <w:tab w:val="clear" w:pos="643"/>
          <w:tab w:val="left" w:pos="-1701"/>
          <w:tab w:val="num" w:pos="360"/>
        </w:tabs>
        <w:spacing w:before="60"/>
        <w:ind w:left="360"/>
        <w:jc w:val="both"/>
      </w:pPr>
      <w:r w:rsidRPr="00A33C84">
        <w:t>Fond je zřízen v návaznosti na Koncepci rodinné politiky statutárního města Olomouce na roky 2016</w:t>
      </w:r>
      <w:r>
        <w:t xml:space="preserve"> </w:t>
      </w:r>
      <w:r w:rsidRPr="00A33C84">
        <w:t>-</w:t>
      </w:r>
      <w:r>
        <w:t xml:space="preserve"> </w:t>
      </w:r>
      <w:r w:rsidRPr="00A33C84">
        <w:t>2018, oddíl 5. Přímá podpora rodin, opatření 5.2 Podpora dětí z nízkopříjmových rodin v přístupu ke vzdělávání, schválené Radou města Olomouce dne 19. 4. 2016.</w:t>
      </w:r>
    </w:p>
    <w:p w:rsidR="00130BBB" w:rsidRDefault="00130BBB" w:rsidP="00130BBB">
      <w:pPr>
        <w:numPr>
          <w:ilvl w:val="0"/>
          <w:numId w:val="4"/>
        </w:numPr>
        <w:tabs>
          <w:tab w:val="clear" w:pos="643"/>
          <w:tab w:val="left" w:pos="-1701"/>
          <w:tab w:val="num" w:pos="360"/>
        </w:tabs>
        <w:spacing w:before="60"/>
        <w:ind w:left="360"/>
        <w:jc w:val="both"/>
      </w:pPr>
      <w:r w:rsidRPr="00873FF4">
        <w:t>Fond je peněžním fondem obce zřízeným dle zákona 250/200</w:t>
      </w:r>
      <w:r>
        <w:t xml:space="preserve">0 Sb., o rozpočtových pravidlech územních rozpočtů, v znění pozdějších předpisů. </w:t>
      </w:r>
      <w:r w:rsidRPr="0093465C">
        <w:t xml:space="preserve">Pro potřeby fondu byl zřízen samostatný běžný bankovní účet statutárního města Olomouce. Účet je veden u České spořitelny a. s., číslo účtu 7188712/0800 s názvem „Fond pomoci olomouckým dětem“. Veškeré nakládání s finančními prostředky fondu bude prováděno bezhotovostně. </w:t>
      </w:r>
    </w:p>
    <w:p w:rsidR="00130BBB" w:rsidRPr="0093465C" w:rsidRDefault="00130BBB" w:rsidP="00130BBB">
      <w:pPr>
        <w:tabs>
          <w:tab w:val="left" w:pos="-1701"/>
        </w:tabs>
        <w:spacing w:before="60"/>
        <w:jc w:val="both"/>
      </w:pPr>
    </w:p>
    <w:p w:rsidR="00130BBB" w:rsidRDefault="00130BBB" w:rsidP="00130BBB">
      <w:pPr>
        <w:jc w:val="center"/>
      </w:pPr>
      <w:r w:rsidRPr="00A33C84">
        <w:t>Čl. 2</w:t>
      </w:r>
    </w:p>
    <w:p w:rsidR="00130BBB" w:rsidRDefault="00130BBB" w:rsidP="00130BBB">
      <w:pPr>
        <w:pStyle w:val="Nadpis7"/>
        <w:jc w:val="center"/>
      </w:pPr>
      <w:r>
        <w:t>Příjmy fondu</w:t>
      </w:r>
    </w:p>
    <w:p w:rsidR="00130BBB" w:rsidRPr="00D013E7" w:rsidRDefault="00130BBB" w:rsidP="00130BBB">
      <w:pPr>
        <w:pStyle w:val="Zkladntext"/>
        <w:widowControl/>
        <w:tabs>
          <w:tab w:val="left" w:pos="426"/>
        </w:tabs>
        <w:spacing w:before="60"/>
        <w:ind w:left="426" w:hanging="426"/>
        <w:rPr>
          <w:sz w:val="22"/>
          <w:szCs w:val="22"/>
        </w:rPr>
      </w:pPr>
      <w:r w:rsidRPr="00D013E7">
        <w:rPr>
          <w:sz w:val="22"/>
          <w:szCs w:val="22"/>
        </w:rPr>
        <w:t xml:space="preserve">1) </w:t>
      </w:r>
      <w:r w:rsidRPr="00D013E7">
        <w:rPr>
          <w:sz w:val="22"/>
          <w:szCs w:val="22"/>
        </w:rPr>
        <w:tab/>
        <w:t>Příjmy fondu jsou:</w:t>
      </w:r>
    </w:p>
    <w:p w:rsidR="00130BBB" w:rsidRPr="006959C4" w:rsidRDefault="00130BBB" w:rsidP="00130BBB">
      <w:pPr>
        <w:numPr>
          <w:ilvl w:val="0"/>
          <w:numId w:val="6"/>
        </w:numPr>
        <w:tabs>
          <w:tab w:val="clear" w:pos="1260"/>
        </w:tabs>
        <w:spacing w:before="60"/>
        <w:ind w:left="426" w:hanging="142"/>
        <w:jc w:val="both"/>
      </w:pPr>
      <w:r>
        <w:t>dary fyzických a právnických osob,</w:t>
      </w:r>
    </w:p>
    <w:p w:rsidR="00130BBB" w:rsidRPr="00DA327B" w:rsidRDefault="00130BBB" w:rsidP="00130BBB">
      <w:pPr>
        <w:numPr>
          <w:ilvl w:val="0"/>
          <w:numId w:val="6"/>
        </w:numPr>
        <w:tabs>
          <w:tab w:val="clear" w:pos="1260"/>
        </w:tabs>
        <w:spacing w:before="60"/>
        <w:ind w:left="426" w:hanging="142"/>
        <w:jc w:val="both"/>
        <w:rPr>
          <w:b/>
          <w:u w:val="single"/>
        </w:rPr>
      </w:pPr>
      <w:r w:rsidRPr="009E76B2">
        <w:t xml:space="preserve">prostředky </w:t>
      </w:r>
      <w:r>
        <w:t>z rozpočtu statutárního města Olomouce vložené do fondu,</w:t>
      </w:r>
      <w:r w:rsidRPr="009E76B2">
        <w:t xml:space="preserve"> </w:t>
      </w:r>
    </w:p>
    <w:p w:rsidR="00130BBB" w:rsidRDefault="00130BBB" w:rsidP="00130BBB">
      <w:pPr>
        <w:numPr>
          <w:ilvl w:val="0"/>
          <w:numId w:val="6"/>
        </w:numPr>
        <w:tabs>
          <w:tab w:val="clear" w:pos="1260"/>
        </w:tabs>
        <w:spacing w:before="60"/>
        <w:ind w:left="426" w:hanging="142"/>
        <w:jc w:val="both"/>
      </w:pPr>
      <w:r>
        <w:t>výnosy z přechodně uložených volných finančních zdrojů fondu,</w:t>
      </w:r>
    </w:p>
    <w:p w:rsidR="00130BBB" w:rsidRDefault="00130BBB" w:rsidP="00130BBB">
      <w:pPr>
        <w:numPr>
          <w:ilvl w:val="0"/>
          <w:numId w:val="7"/>
        </w:numPr>
        <w:tabs>
          <w:tab w:val="clear" w:pos="360"/>
          <w:tab w:val="num" w:pos="426"/>
        </w:tabs>
        <w:spacing w:before="60"/>
        <w:ind w:left="426" w:hanging="426"/>
        <w:jc w:val="both"/>
      </w:pPr>
      <w:r>
        <w:t>Případné přírůstky stavu fondu se nestávají výnosem (ziskem) statutárního města Olomouce a musejí být bezezbytku ponechány fondu k použití.</w:t>
      </w:r>
    </w:p>
    <w:p w:rsidR="00130BBB" w:rsidRDefault="00130BBB" w:rsidP="00130BBB">
      <w:pPr>
        <w:spacing w:before="60"/>
        <w:ind w:left="567"/>
        <w:jc w:val="both"/>
      </w:pPr>
    </w:p>
    <w:p w:rsidR="00130BBB" w:rsidRPr="00A33C84" w:rsidRDefault="00130BBB" w:rsidP="00130BBB">
      <w:pPr>
        <w:jc w:val="center"/>
      </w:pPr>
      <w:r>
        <w:t>Čl. 3</w:t>
      </w:r>
    </w:p>
    <w:p w:rsidR="00130BBB" w:rsidRDefault="00130BBB" w:rsidP="00130BBB">
      <w:pPr>
        <w:pStyle w:val="Nadpis3"/>
        <w:widowControl/>
        <w:jc w:val="center"/>
        <w:rPr>
          <w:sz w:val="24"/>
        </w:rPr>
      </w:pPr>
      <w:r>
        <w:rPr>
          <w:sz w:val="24"/>
        </w:rPr>
        <w:t>Výdaje fondu</w:t>
      </w:r>
    </w:p>
    <w:p w:rsidR="00130BBB" w:rsidRDefault="00130BBB" w:rsidP="00130BBB">
      <w:pPr>
        <w:numPr>
          <w:ilvl w:val="0"/>
          <w:numId w:val="3"/>
        </w:numPr>
        <w:tabs>
          <w:tab w:val="left" w:pos="-1701"/>
        </w:tabs>
        <w:spacing w:before="60"/>
        <w:jc w:val="both"/>
      </w:pPr>
      <w:r>
        <w:t xml:space="preserve">Prostředky fondu je možno používat </w:t>
      </w:r>
      <w:r w:rsidRPr="006959C4">
        <w:t>podle dále uvedených</w:t>
      </w:r>
      <w:r w:rsidRPr="00734ECB">
        <w:rPr>
          <w:color w:val="FF0000"/>
        </w:rPr>
        <w:t xml:space="preserve"> </w:t>
      </w:r>
      <w:r w:rsidRPr="006959C4">
        <w:t>pravidel</w:t>
      </w:r>
      <w:r>
        <w:t xml:space="preserve"> výhradně k poskytování darů pro rodiče či jiné osoby odpovědné za výchovu dětí z nízkopříjmových rodin, účelově vázaných na úhradu aktivit jejich dětí dle Čl. 1.</w:t>
      </w:r>
    </w:p>
    <w:p w:rsidR="00130BBB" w:rsidRPr="005C6CF1" w:rsidRDefault="00130BBB" w:rsidP="00130BBB">
      <w:pPr>
        <w:numPr>
          <w:ilvl w:val="0"/>
          <w:numId w:val="3"/>
        </w:numPr>
        <w:tabs>
          <w:tab w:val="left" w:pos="-1701"/>
        </w:tabs>
        <w:spacing w:before="60"/>
        <w:jc w:val="both"/>
      </w:pPr>
      <w:r w:rsidRPr="005C6CF1">
        <w:t>Výdajem fondu jsou též úhrady poskytované České spořitelně, a.s. za zřízení a vedení účtu, dl</w:t>
      </w:r>
      <w:r w:rsidR="00E6543C">
        <w:t xml:space="preserve">e Čl. 1 odst. 3). </w:t>
      </w:r>
      <w:r w:rsidRPr="005C6CF1">
        <w:t xml:space="preserve">                    </w:t>
      </w:r>
    </w:p>
    <w:p w:rsidR="00130BBB" w:rsidRDefault="00130BBB" w:rsidP="00130BBB">
      <w:pPr>
        <w:jc w:val="center"/>
      </w:pPr>
    </w:p>
    <w:p w:rsidR="00130BBB" w:rsidRPr="005F7CAE" w:rsidRDefault="00130BBB" w:rsidP="00130BBB">
      <w:pPr>
        <w:jc w:val="center"/>
      </w:pPr>
      <w:r w:rsidRPr="005F7CAE">
        <w:t>Čl. 4</w:t>
      </w:r>
    </w:p>
    <w:p w:rsidR="00130BBB" w:rsidRPr="005F7CAE" w:rsidRDefault="00130BBB" w:rsidP="00130BBB">
      <w:pPr>
        <w:pStyle w:val="Nadpis4"/>
        <w:rPr>
          <w:color w:val="auto"/>
        </w:rPr>
      </w:pPr>
      <w:r w:rsidRPr="005F7CAE">
        <w:rPr>
          <w:color w:val="auto"/>
        </w:rPr>
        <w:t>Podmínky pro žadatele</w:t>
      </w:r>
    </w:p>
    <w:p w:rsidR="00130BBB" w:rsidRPr="00873FF4" w:rsidRDefault="00130BBB" w:rsidP="00130BBB">
      <w:pPr>
        <w:numPr>
          <w:ilvl w:val="0"/>
          <w:numId w:val="8"/>
        </w:numPr>
        <w:tabs>
          <w:tab w:val="clear" w:pos="927"/>
          <w:tab w:val="num" w:pos="360"/>
        </w:tabs>
        <w:spacing w:before="60"/>
        <w:ind w:left="360"/>
        <w:jc w:val="both"/>
        <w:rPr>
          <w:iCs/>
        </w:rPr>
      </w:pPr>
      <w:r w:rsidRPr="00FC766E">
        <w:rPr>
          <w:iCs/>
        </w:rPr>
        <w:t xml:space="preserve">Žadateli o </w:t>
      </w:r>
      <w:r>
        <w:rPr>
          <w:iCs/>
        </w:rPr>
        <w:t>účelově vázaný dar</w:t>
      </w:r>
      <w:r w:rsidRPr="00FC766E">
        <w:rPr>
          <w:iCs/>
        </w:rPr>
        <w:t xml:space="preserve"> z fondu mohou být </w:t>
      </w:r>
      <w:r w:rsidRPr="00873FF4">
        <w:rPr>
          <w:iCs/>
        </w:rPr>
        <w:t xml:space="preserve">pouze zákonní zástupci nebo osoby odpovědné za výchovu dětí - žáků </w:t>
      </w:r>
      <w:r w:rsidRPr="008A2B31">
        <w:rPr>
          <w:iCs/>
        </w:rPr>
        <w:t>plnících povinnou školní docházku s trvalým pobytem na území města Olomouce nebo žáků plnících povinnou školní docházku ve školách na území města Olomouce. Žadatelé musejí doložit výši příjmů rodiny (osob žijících ve společné domácnosti) potvrzením od</w:t>
      </w:r>
      <w:r w:rsidRPr="00873FF4">
        <w:rPr>
          <w:iCs/>
        </w:rPr>
        <w:t xml:space="preserve"> zaměstnavatele, Úřadu práce ČR nebo jinými doklady potvrzujícími příjem (např.  daňové přiznání OSVČ, důchodový výměr aj.).</w:t>
      </w:r>
    </w:p>
    <w:p w:rsidR="00130BBB" w:rsidRDefault="00130BBB" w:rsidP="00130BBB">
      <w:pPr>
        <w:numPr>
          <w:ilvl w:val="0"/>
          <w:numId w:val="8"/>
        </w:numPr>
        <w:tabs>
          <w:tab w:val="clear" w:pos="927"/>
          <w:tab w:val="num" w:pos="360"/>
        </w:tabs>
        <w:spacing w:before="60"/>
        <w:ind w:left="360"/>
        <w:jc w:val="both"/>
        <w:rPr>
          <w:iCs/>
        </w:rPr>
      </w:pPr>
      <w:r w:rsidRPr="00D5483B">
        <w:rPr>
          <w:iCs/>
        </w:rPr>
        <w:lastRenderedPageBreak/>
        <w:t xml:space="preserve">Žadatel o </w:t>
      </w:r>
      <w:r>
        <w:rPr>
          <w:iCs/>
        </w:rPr>
        <w:t>dar</w:t>
      </w:r>
      <w:r w:rsidRPr="00D5483B">
        <w:rPr>
          <w:iCs/>
        </w:rPr>
        <w:t xml:space="preserve"> </w:t>
      </w:r>
      <w:r>
        <w:rPr>
          <w:iCs/>
        </w:rPr>
        <w:t>je povinen dále</w:t>
      </w:r>
      <w:r w:rsidRPr="00D5483B">
        <w:rPr>
          <w:iCs/>
        </w:rPr>
        <w:t xml:space="preserve"> doložit </w:t>
      </w:r>
      <w:r>
        <w:rPr>
          <w:iCs/>
        </w:rPr>
        <w:t xml:space="preserve">doporučení třídního učitele žáka k této žádosti. Dále je povinen doložit informaci příslušné školy o řádné školní docházce žáka za předchozí pololetí, toto neplatí u žáků, kteří nastoupili do prvního ročníku základní školy. </w:t>
      </w:r>
    </w:p>
    <w:p w:rsidR="00130BBB" w:rsidRDefault="00130BBB" w:rsidP="00130BBB">
      <w:pPr>
        <w:spacing w:before="60"/>
        <w:ind w:left="360"/>
        <w:jc w:val="both"/>
        <w:rPr>
          <w:iCs/>
        </w:rPr>
      </w:pPr>
    </w:p>
    <w:p w:rsidR="00130BBB" w:rsidRPr="00D5483B" w:rsidRDefault="00130BBB" w:rsidP="00130BBB">
      <w:pPr>
        <w:numPr>
          <w:ilvl w:val="0"/>
          <w:numId w:val="8"/>
        </w:numPr>
        <w:tabs>
          <w:tab w:val="clear" w:pos="927"/>
          <w:tab w:val="num" w:pos="360"/>
        </w:tabs>
        <w:spacing w:before="60"/>
        <w:ind w:left="360"/>
        <w:jc w:val="both"/>
        <w:rPr>
          <w:iCs/>
        </w:rPr>
      </w:pPr>
      <w:r>
        <w:rPr>
          <w:iCs/>
        </w:rPr>
        <w:t>Dar</w:t>
      </w:r>
      <w:r w:rsidRPr="00D5483B">
        <w:rPr>
          <w:iCs/>
        </w:rPr>
        <w:t xml:space="preserve"> nebude poskytnut:</w:t>
      </w:r>
    </w:p>
    <w:p w:rsidR="00130BBB" w:rsidRPr="008A2B31" w:rsidRDefault="00130BBB" w:rsidP="00130BBB">
      <w:pPr>
        <w:numPr>
          <w:ilvl w:val="0"/>
          <w:numId w:val="9"/>
        </w:numPr>
        <w:spacing w:before="60"/>
        <w:jc w:val="both"/>
        <w:rPr>
          <w:iCs/>
        </w:rPr>
      </w:pPr>
      <w:r w:rsidRPr="008A2B31">
        <w:rPr>
          <w:iCs/>
        </w:rPr>
        <w:t xml:space="preserve">žadateli, v jehož domácnosti přesáhnou celkové měsíční příjmy násobek životního minima na člena domácnosti stanoveného zákonem č. 117/1995 Sb., o státní sociálně podpoře, v platném znění, </w:t>
      </w:r>
    </w:p>
    <w:p w:rsidR="00130BBB" w:rsidRDefault="00130BBB" w:rsidP="00130BBB">
      <w:pPr>
        <w:numPr>
          <w:ilvl w:val="0"/>
          <w:numId w:val="9"/>
        </w:numPr>
        <w:spacing w:before="60"/>
        <w:jc w:val="both"/>
        <w:rPr>
          <w:iCs/>
        </w:rPr>
      </w:pPr>
      <w:r w:rsidRPr="005E27B4">
        <w:rPr>
          <w:iCs/>
        </w:rPr>
        <w:t>žadateli</w:t>
      </w:r>
      <w:r>
        <w:rPr>
          <w:iCs/>
        </w:rPr>
        <w:t>,</w:t>
      </w:r>
      <w:r w:rsidRPr="005E27B4">
        <w:rPr>
          <w:iCs/>
        </w:rPr>
        <w:t xml:space="preserve"> </w:t>
      </w:r>
      <w:r>
        <w:rPr>
          <w:iCs/>
        </w:rPr>
        <w:t>jehož dítě má v posledním pololetí ve škole neomluvenou absenci ve vyučování,</w:t>
      </w:r>
      <w:r w:rsidRPr="005E27B4">
        <w:rPr>
          <w:iCs/>
        </w:rPr>
        <w:t xml:space="preserve"> </w:t>
      </w:r>
    </w:p>
    <w:p w:rsidR="00130BBB" w:rsidRPr="005E27B4" w:rsidRDefault="00130BBB" w:rsidP="00130BBB">
      <w:pPr>
        <w:numPr>
          <w:ilvl w:val="0"/>
          <w:numId w:val="9"/>
        </w:numPr>
        <w:spacing w:before="60"/>
        <w:jc w:val="both"/>
        <w:rPr>
          <w:iCs/>
        </w:rPr>
      </w:pPr>
      <w:r>
        <w:rPr>
          <w:iCs/>
        </w:rPr>
        <w:t>žadateli, který k žádosti nedoloží všechny povinné přílohy.</w:t>
      </w:r>
      <w:r w:rsidRPr="005E27B4">
        <w:rPr>
          <w:iCs/>
        </w:rPr>
        <w:t xml:space="preserve"> </w:t>
      </w:r>
    </w:p>
    <w:p w:rsidR="00130BBB" w:rsidRPr="00D660A1" w:rsidRDefault="00130BBB" w:rsidP="00130BBB">
      <w:pPr>
        <w:numPr>
          <w:ilvl w:val="0"/>
          <w:numId w:val="8"/>
        </w:numPr>
        <w:tabs>
          <w:tab w:val="clear" w:pos="927"/>
          <w:tab w:val="num" w:pos="360"/>
        </w:tabs>
        <w:spacing w:before="60"/>
        <w:ind w:left="360"/>
        <w:jc w:val="both"/>
      </w:pPr>
      <w:r>
        <w:rPr>
          <w:iCs/>
        </w:rPr>
        <w:t xml:space="preserve">Žádosti je možné podávat průběžně. </w:t>
      </w:r>
      <w:r w:rsidR="00B16BAB" w:rsidRPr="00B933C3">
        <w:rPr>
          <w:iCs/>
        </w:rPr>
        <w:t xml:space="preserve">Maximální výše daru pro jednoho žáka v jednom kalendářním </w:t>
      </w:r>
      <w:r w:rsidR="00BF7D12" w:rsidRPr="00B933C3">
        <w:rPr>
          <w:iCs/>
        </w:rPr>
        <w:t>roce může být</w:t>
      </w:r>
      <w:r w:rsidR="00B16BAB" w:rsidRPr="00B933C3">
        <w:rPr>
          <w:iCs/>
        </w:rPr>
        <w:t xml:space="preserve"> </w:t>
      </w:r>
      <w:r w:rsidR="00BF7D12" w:rsidRPr="00B933C3">
        <w:rPr>
          <w:iCs/>
        </w:rPr>
        <w:t xml:space="preserve">do 10.000 Kč, přičemž v jedné výzvě může být poskytnut maximálně do 5 000 Kč. </w:t>
      </w:r>
      <w:r w:rsidR="00B16BAB" w:rsidRPr="00B933C3">
        <w:rPr>
          <w:iCs/>
        </w:rPr>
        <w:t xml:space="preserve"> </w:t>
      </w:r>
      <w:r w:rsidRPr="00B933C3">
        <w:rPr>
          <w:iCs/>
        </w:rPr>
        <w:t xml:space="preserve">Komise fondu jedná zpravidla 2× do roka, termíny jednání komise a zároveň </w:t>
      </w:r>
      <w:r>
        <w:rPr>
          <w:iCs/>
        </w:rPr>
        <w:t xml:space="preserve">termíny, do kdy je nutno podat žádost, aby byla komisí v určeném termínu ještě projednána, se zveřejňují na webových stránkách města, na úřední desce, prostřednictvím škol a dalšími obvyklými způsoby nejméně 30 dní před termínem jednání komise fondu. Zároveň se zveřejňují formuláře žádostí. Tyto </w:t>
      </w:r>
      <w:r w:rsidRPr="00873FF4">
        <w:rPr>
          <w:iCs/>
        </w:rPr>
        <w:t>formuláře</w:t>
      </w:r>
      <w:r>
        <w:rPr>
          <w:iCs/>
        </w:rPr>
        <w:t xml:space="preserve"> jsou také k dispozici na pracovištích MMOl – odbor sociálních věcí a odbor školství. Žádosti podané písemnou formou přijímá odbor školství MMOl, a to </w:t>
      </w:r>
      <w:r w:rsidRPr="00873FF4">
        <w:rPr>
          <w:iCs/>
        </w:rPr>
        <w:t>prostřednictvím</w:t>
      </w:r>
      <w:r>
        <w:rPr>
          <w:iCs/>
        </w:rPr>
        <w:t xml:space="preserve"> podatelny MMOl nebo osobně na sekretariátu odboru anebo poštovní zásilkou. </w:t>
      </w:r>
    </w:p>
    <w:p w:rsidR="00130BBB" w:rsidRPr="009A6917" w:rsidRDefault="00130BBB" w:rsidP="00130BBB">
      <w:pPr>
        <w:spacing w:before="60"/>
        <w:jc w:val="both"/>
      </w:pPr>
    </w:p>
    <w:p w:rsidR="00130BBB" w:rsidRPr="00A33C84" w:rsidRDefault="00130BBB" w:rsidP="00130BBB">
      <w:pPr>
        <w:jc w:val="center"/>
      </w:pPr>
      <w:r w:rsidRPr="00D5483B">
        <w:t>Čl.</w:t>
      </w:r>
      <w:r>
        <w:t xml:space="preserve"> </w:t>
      </w:r>
      <w:r w:rsidRPr="00D5483B">
        <w:t>5</w:t>
      </w:r>
    </w:p>
    <w:p w:rsidR="00130BBB" w:rsidRDefault="00130BBB" w:rsidP="00130BBB">
      <w:pPr>
        <w:jc w:val="center"/>
        <w:rPr>
          <w:b/>
        </w:rPr>
      </w:pPr>
      <w:r>
        <w:rPr>
          <w:b/>
        </w:rPr>
        <w:t>Výběr žadatelů</w:t>
      </w:r>
    </w:p>
    <w:p w:rsidR="00130BBB" w:rsidRPr="00873FF4" w:rsidRDefault="00130BBB" w:rsidP="00130BBB">
      <w:pPr>
        <w:numPr>
          <w:ilvl w:val="0"/>
          <w:numId w:val="1"/>
        </w:numPr>
        <w:tabs>
          <w:tab w:val="left" w:pos="-1560"/>
        </w:tabs>
        <w:spacing w:before="60"/>
        <w:ind w:left="426" w:hanging="425"/>
        <w:jc w:val="both"/>
      </w:pPr>
      <w:r>
        <w:t>Žadatelé</w:t>
      </w:r>
      <w:r w:rsidRPr="002E1345">
        <w:t>,</w:t>
      </w:r>
      <w:r>
        <w:t xml:space="preserve"> kteří splní podmínky </w:t>
      </w:r>
      <w:r w:rsidRPr="00AB3257">
        <w:t xml:space="preserve">dle </w:t>
      </w:r>
      <w:r>
        <w:t>Č</w:t>
      </w:r>
      <w:r w:rsidRPr="00AB3257">
        <w:t>l. 4</w:t>
      </w:r>
      <w:r>
        <w:t>,</w:t>
      </w:r>
      <w:r>
        <w:rPr>
          <w:color w:val="FF0000"/>
        </w:rPr>
        <w:t xml:space="preserve"> </w:t>
      </w:r>
      <w:r>
        <w:t xml:space="preserve">mohou získat z fondu dar na účely uvedené v darovací </w:t>
      </w:r>
      <w:r w:rsidRPr="00873FF4">
        <w:t>smlouvě.</w:t>
      </w:r>
      <w:r>
        <w:t xml:space="preserve"> Na poskytnutí daru není právní nárok. </w:t>
      </w:r>
      <w:r w:rsidRPr="00873FF4">
        <w:t xml:space="preserve">O poskytnutí daru rozhoduje v souladu s § 85 písm. b) a § 102 odst. 3 zákona o obcích Zastupitelstvo města Olomouce nebo Rada města Olomouce. </w:t>
      </w:r>
    </w:p>
    <w:p w:rsidR="00130BBB" w:rsidRDefault="00130BBB" w:rsidP="00130BBB">
      <w:pPr>
        <w:numPr>
          <w:ilvl w:val="0"/>
          <w:numId w:val="1"/>
        </w:numPr>
        <w:tabs>
          <w:tab w:val="left" w:pos="-1560"/>
        </w:tabs>
        <w:spacing w:before="60"/>
        <w:ind w:left="426" w:hanging="425"/>
        <w:jc w:val="both"/>
      </w:pPr>
      <w:r>
        <w:t>Rada města Olomouce jmenuje komisi fondu, jejího předsedu, místopředsedu a tajemníka. Komise fondu připravuje návrh na podporu vybraných žadatelů příslušnému orgánu města.</w:t>
      </w:r>
    </w:p>
    <w:p w:rsidR="00130BBB" w:rsidRDefault="00130BBB" w:rsidP="00130BBB">
      <w:pPr>
        <w:numPr>
          <w:ilvl w:val="0"/>
          <w:numId w:val="1"/>
        </w:numPr>
        <w:tabs>
          <w:tab w:val="left" w:pos="-1560"/>
        </w:tabs>
        <w:spacing w:before="60"/>
        <w:ind w:left="426" w:hanging="425"/>
        <w:jc w:val="both"/>
      </w:pPr>
      <w:r>
        <w:t>Tajemník komise ve spolupráci s odborem školství a odborem sociálních věcí MMOl zpracovává podklady žadatelů pro jednání komise. Na začátku svého jednání určí komise výši částky, která se bude na daném jednání navrhovat k rozdělení.</w:t>
      </w:r>
    </w:p>
    <w:p w:rsidR="00130BBB" w:rsidRDefault="00130BBB" w:rsidP="00130BBB">
      <w:pPr>
        <w:numPr>
          <w:ilvl w:val="0"/>
          <w:numId w:val="1"/>
        </w:numPr>
        <w:tabs>
          <w:tab w:val="left" w:pos="-1560"/>
        </w:tabs>
        <w:spacing w:before="60"/>
        <w:ind w:left="426" w:hanging="425"/>
        <w:jc w:val="both"/>
      </w:pPr>
      <w:r>
        <w:t>Komise navrhuje přidělení daru žadatelům dle následujících kritérií:</w:t>
      </w:r>
    </w:p>
    <w:p w:rsidR="00130BBB" w:rsidRPr="008D59B5" w:rsidRDefault="00130BBB" w:rsidP="00130BBB">
      <w:pPr>
        <w:numPr>
          <w:ilvl w:val="1"/>
          <w:numId w:val="8"/>
        </w:numPr>
        <w:tabs>
          <w:tab w:val="clear" w:pos="1647"/>
        </w:tabs>
        <w:spacing w:before="60"/>
        <w:ind w:left="426" w:firstLine="0"/>
        <w:jc w:val="both"/>
        <w:rPr>
          <w:iCs/>
        </w:rPr>
      </w:pPr>
      <w:r>
        <w:rPr>
          <w:iCs/>
        </w:rPr>
        <w:t>splnění podmínek dle Čl. 4,</w:t>
      </w:r>
    </w:p>
    <w:p w:rsidR="00130BBB" w:rsidRDefault="00130BBB" w:rsidP="00130BBB">
      <w:pPr>
        <w:numPr>
          <w:ilvl w:val="1"/>
          <w:numId w:val="8"/>
        </w:numPr>
        <w:tabs>
          <w:tab w:val="clear" w:pos="1647"/>
        </w:tabs>
        <w:spacing w:before="60"/>
        <w:ind w:left="426" w:firstLine="0"/>
        <w:jc w:val="both"/>
        <w:rPr>
          <w:iCs/>
        </w:rPr>
      </w:pPr>
      <w:r>
        <w:t>pozitivní reference o rodině a žákovi ze školy nebo odboru sociálních věcí MMOl,</w:t>
      </w:r>
    </w:p>
    <w:p w:rsidR="00130BBB" w:rsidRDefault="00130BBB" w:rsidP="00130BBB">
      <w:pPr>
        <w:numPr>
          <w:ilvl w:val="1"/>
          <w:numId w:val="8"/>
        </w:numPr>
        <w:tabs>
          <w:tab w:val="clear" w:pos="1647"/>
        </w:tabs>
        <w:spacing w:before="60"/>
        <w:ind w:left="709" w:hanging="283"/>
        <w:jc w:val="both"/>
        <w:rPr>
          <w:iCs/>
        </w:rPr>
      </w:pPr>
      <w:r>
        <w:t>přítomnost dalších faktorů, komplikujících sociální situaci (zejména zdravotní postižení, bydlení v podmínkách nevhodných pro řádnou školní přípravu, apod.),</w:t>
      </w:r>
    </w:p>
    <w:p w:rsidR="00130BBB" w:rsidRDefault="00130BBB" w:rsidP="00130BBB">
      <w:pPr>
        <w:numPr>
          <w:ilvl w:val="1"/>
          <w:numId w:val="8"/>
        </w:numPr>
        <w:tabs>
          <w:tab w:val="clear" w:pos="1647"/>
        </w:tabs>
        <w:spacing w:before="60"/>
        <w:ind w:left="426" w:firstLine="0"/>
        <w:jc w:val="both"/>
      </w:pPr>
      <w:r>
        <w:t>upřednostnění dříve podané žádosti.</w:t>
      </w:r>
    </w:p>
    <w:p w:rsidR="00130BBB" w:rsidRDefault="00130BBB" w:rsidP="00130BBB">
      <w:pPr>
        <w:numPr>
          <w:ilvl w:val="0"/>
          <w:numId w:val="8"/>
        </w:numPr>
        <w:tabs>
          <w:tab w:val="clear" w:pos="927"/>
          <w:tab w:val="num" w:pos="360"/>
        </w:tabs>
        <w:spacing w:before="60"/>
        <w:ind w:left="426" w:hanging="425"/>
        <w:jc w:val="both"/>
        <w:rPr>
          <w:iCs/>
        </w:rPr>
      </w:pPr>
      <w:r>
        <w:t> </w:t>
      </w:r>
      <w:r w:rsidRPr="000519DD">
        <w:t xml:space="preserve">O výsledku výběrového řízení </w:t>
      </w:r>
      <w:r>
        <w:t>se</w:t>
      </w:r>
      <w:r w:rsidRPr="000519DD">
        <w:t xml:space="preserve"> všichni žadatelé vyrozum</w:t>
      </w:r>
      <w:r>
        <w:t>í</w:t>
      </w:r>
      <w:r w:rsidRPr="000519DD">
        <w:t xml:space="preserve"> nejpozději do</w:t>
      </w:r>
      <w:r w:rsidRPr="000519DD">
        <w:rPr>
          <w:i/>
        </w:rPr>
        <w:t xml:space="preserve"> </w:t>
      </w:r>
      <w:r>
        <w:t>15</w:t>
      </w:r>
      <w:r w:rsidRPr="000519DD">
        <w:t xml:space="preserve"> dnů od rozhodnutí </w:t>
      </w:r>
      <w:r>
        <w:t>příslušného orgánu města</w:t>
      </w:r>
      <w:r w:rsidRPr="000519DD">
        <w:t xml:space="preserve">. </w:t>
      </w:r>
      <w:r>
        <w:rPr>
          <w:iCs/>
        </w:rPr>
        <w:t>Žadatel,</w:t>
      </w:r>
      <w:r w:rsidRPr="00AB3257">
        <w:rPr>
          <w:iCs/>
        </w:rPr>
        <w:t xml:space="preserve"> kterému bylo schváleno poskytnutí </w:t>
      </w:r>
      <w:r>
        <w:rPr>
          <w:iCs/>
        </w:rPr>
        <w:t>daru</w:t>
      </w:r>
      <w:r w:rsidRPr="00AB3257">
        <w:rPr>
          <w:iCs/>
        </w:rPr>
        <w:t xml:space="preserve">, </w:t>
      </w:r>
      <w:r>
        <w:rPr>
          <w:iCs/>
        </w:rPr>
        <w:t xml:space="preserve">bude vyzván, aby ve lhůtě 15 dnů od </w:t>
      </w:r>
      <w:r w:rsidRPr="007B1D76">
        <w:rPr>
          <w:iCs/>
        </w:rPr>
        <w:t>oznámení</w:t>
      </w:r>
      <w:r>
        <w:rPr>
          <w:iCs/>
        </w:rPr>
        <w:t xml:space="preserve"> této skutečnosti uzavřel darovací smlouvu </w:t>
      </w:r>
      <w:proofErr w:type="gramStart"/>
      <w:r>
        <w:rPr>
          <w:iCs/>
        </w:rPr>
        <w:t>se</w:t>
      </w:r>
      <w:proofErr w:type="gramEnd"/>
      <w:r>
        <w:rPr>
          <w:iCs/>
        </w:rPr>
        <w:t xml:space="preserve"> SMOl s uvedením výše daru, účelu daru a případných dalších podmínek jeho poskytnutí. Po uplynutí této lhůty návrh SMOl zaniká. Darovaná částka se po uzavření smlouvy bezhotovostně převede z fondu přímo na účet subjektu, který aktivitu pro žáka zajišťuje. Komise fondu může v odůvodněných případech navrhnout poskytnutí daru nebo jeho části bezhotovostním převodem přímo žadateli; v tomto případě se tato skutečnost uvede ve smlouvě.</w:t>
      </w:r>
    </w:p>
    <w:p w:rsidR="00130BBB" w:rsidRPr="007B1D76" w:rsidRDefault="00130BBB" w:rsidP="00130BBB">
      <w:pPr>
        <w:numPr>
          <w:ilvl w:val="0"/>
          <w:numId w:val="8"/>
        </w:numPr>
        <w:tabs>
          <w:tab w:val="clear" w:pos="927"/>
          <w:tab w:val="num" w:pos="360"/>
        </w:tabs>
        <w:spacing w:before="60"/>
        <w:ind w:left="426" w:hanging="425"/>
        <w:jc w:val="both"/>
        <w:rPr>
          <w:iCs/>
        </w:rPr>
      </w:pPr>
      <w:r>
        <w:rPr>
          <w:iCs/>
        </w:rPr>
        <w:t> </w:t>
      </w:r>
      <w:r w:rsidRPr="007B1D76">
        <w:rPr>
          <w:iCs/>
        </w:rPr>
        <w:t>Jednání komise se mohou jako hosté zúčastnit právnické i fyzické osoby, které do fondu darovaly příspěvek. V případě zájmu o účast o tom předem informují tajemníka komise.</w:t>
      </w:r>
    </w:p>
    <w:p w:rsidR="00130BBB" w:rsidRDefault="00130BBB" w:rsidP="00130BBB">
      <w:pPr>
        <w:pStyle w:val="Nadpis8"/>
        <w:spacing w:before="0"/>
        <w:ind w:left="0"/>
        <w:jc w:val="left"/>
      </w:pPr>
    </w:p>
    <w:p w:rsidR="00B16BAB" w:rsidRDefault="00B16BAB" w:rsidP="00B16BAB"/>
    <w:p w:rsidR="00B16BAB" w:rsidRDefault="00B16BAB" w:rsidP="00B16BAB"/>
    <w:p w:rsidR="00B16BAB" w:rsidRDefault="00B16BAB" w:rsidP="00B16BAB"/>
    <w:p w:rsidR="00B16BAB" w:rsidRPr="00B16BAB" w:rsidRDefault="00B16BAB" w:rsidP="00B16BAB"/>
    <w:p w:rsidR="00130BBB" w:rsidRPr="001A3BBB" w:rsidRDefault="00130BBB" w:rsidP="00130BBB"/>
    <w:p w:rsidR="00130BBB" w:rsidRPr="00A33C84" w:rsidRDefault="00130BBB" w:rsidP="00130BBB">
      <w:pPr>
        <w:jc w:val="center"/>
      </w:pPr>
      <w:r w:rsidRPr="00D5483B">
        <w:t xml:space="preserve">Čl. </w:t>
      </w:r>
      <w:r>
        <w:t>6</w:t>
      </w:r>
    </w:p>
    <w:p w:rsidR="00130BBB" w:rsidRDefault="00130BBB" w:rsidP="00130BBB">
      <w:pPr>
        <w:pStyle w:val="Nadpis8"/>
        <w:spacing w:before="0"/>
        <w:ind w:left="0"/>
        <w:rPr>
          <w:b/>
          <w:i w:val="0"/>
        </w:rPr>
      </w:pPr>
      <w:r>
        <w:rPr>
          <w:b/>
          <w:i w:val="0"/>
        </w:rPr>
        <w:t>Kontrola poskytnutých darů</w:t>
      </w:r>
    </w:p>
    <w:p w:rsidR="00130BBB" w:rsidRDefault="00130BBB" w:rsidP="00130BBB">
      <w:pPr>
        <w:numPr>
          <w:ilvl w:val="0"/>
          <w:numId w:val="5"/>
        </w:numPr>
        <w:tabs>
          <w:tab w:val="clear" w:pos="567"/>
          <w:tab w:val="num" w:pos="426"/>
        </w:tabs>
        <w:spacing w:before="60"/>
        <w:ind w:left="426" w:hanging="426"/>
        <w:jc w:val="both"/>
      </w:pPr>
      <w:r>
        <w:t xml:space="preserve">Žadatel podpisem smlouvy o daru souhlasí s tím, že tajemník komise (resp. jím pověřené osoby – pracovníci MMOl, nebo členové příslušných orgánů města) jsou oprávněni kontrolovat, zda jsou poskytnuté prostředky použity účelně a zda se podpořený žák aktivit účastní. </w:t>
      </w:r>
    </w:p>
    <w:p w:rsidR="00130BBB" w:rsidRDefault="00130BBB" w:rsidP="00130BBB">
      <w:pPr>
        <w:numPr>
          <w:ilvl w:val="0"/>
          <w:numId w:val="5"/>
        </w:numPr>
        <w:tabs>
          <w:tab w:val="clear" w:pos="567"/>
          <w:tab w:val="num" w:pos="426"/>
          <w:tab w:val="left" w:pos="540"/>
        </w:tabs>
        <w:spacing w:before="60"/>
        <w:ind w:left="426" w:hanging="426"/>
        <w:jc w:val="both"/>
      </w:pPr>
      <w:r>
        <w:t>Komise fondu projednává a předkládá každoročně Radě města Olomouce zprávu o hospodaření fondu za předchozí období, tj. za předchozí školní rok. Tuto zprávu také tajemník komise zasílá právnickým a fyzickým osobám, které přispěly do fondu.</w:t>
      </w:r>
    </w:p>
    <w:p w:rsidR="00130BBB" w:rsidRDefault="00130BBB" w:rsidP="00130BBB">
      <w:pPr>
        <w:tabs>
          <w:tab w:val="left" w:pos="360"/>
          <w:tab w:val="num" w:pos="426"/>
        </w:tabs>
        <w:spacing w:before="60"/>
        <w:ind w:left="426" w:hanging="426"/>
        <w:jc w:val="both"/>
        <w:rPr>
          <w:b/>
        </w:rPr>
      </w:pPr>
    </w:p>
    <w:p w:rsidR="00130BBB" w:rsidRPr="00A33C84" w:rsidRDefault="00130BBB" w:rsidP="00130BBB">
      <w:pPr>
        <w:tabs>
          <w:tab w:val="num" w:pos="426"/>
        </w:tabs>
        <w:ind w:left="426" w:hanging="426"/>
        <w:jc w:val="center"/>
      </w:pPr>
      <w:r w:rsidRPr="005F7CAE">
        <w:t xml:space="preserve">Čl. </w:t>
      </w:r>
      <w:r>
        <w:t>7</w:t>
      </w:r>
    </w:p>
    <w:p w:rsidR="00130BBB" w:rsidRPr="005F7CAE" w:rsidRDefault="00130BBB" w:rsidP="00130BBB">
      <w:pPr>
        <w:tabs>
          <w:tab w:val="num" w:pos="426"/>
        </w:tabs>
        <w:ind w:left="426" w:hanging="426"/>
        <w:jc w:val="center"/>
        <w:rPr>
          <w:b/>
        </w:rPr>
      </w:pPr>
      <w:r w:rsidRPr="005F7CAE">
        <w:rPr>
          <w:b/>
        </w:rPr>
        <w:t>Závěrečná ustanovení</w:t>
      </w:r>
    </w:p>
    <w:p w:rsidR="00130BBB" w:rsidRPr="005F7CAE" w:rsidRDefault="00130BBB" w:rsidP="00130BBB">
      <w:pPr>
        <w:numPr>
          <w:ilvl w:val="0"/>
          <w:numId w:val="2"/>
        </w:numPr>
        <w:tabs>
          <w:tab w:val="num" w:pos="426"/>
        </w:tabs>
        <w:ind w:left="426" w:hanging="426"/>
        <w:jc w:val="both"/>
        <w:rPr>
          <w:bCs/>
        </w:rPr>
      </w:pPr>
      <w:r>
        <w:rPr>
          <w:bCs/>
        </w:rPr>
        <w:t>Tento Statut</w:t>
      </w:r>
      <w:r w:rsidRPr="005F7CAE">
        <w:rPr>
          <w:bCs/>
        </w:rPr>
        <w:t xml:space="preserve"> se podpisem </w:t>
      </w:r>
      <w:r>
        <w:rPr>
          <w:bCs/>
        </w:rPr>
        <w:t>smlouvy o daru</w:t>
      </w:r>
      <w:r w:rsidRPr="005F7CAE">
        <w:rPr>
          <w:bCs/>
        </w:rPr>
        <w:t xml:space="preserve"> stáv</w:t>
      </w:r>
      <w:r>
        <w:rPr>
          <w:bCs/>
        </w:rPr>
        <w:t>á</w:t>
      </w:r>
      <w:r w:rsidRPr="005F7CAE">
        <w:rPr>
          <w:bCs/>
        </w:rPr>
        <w:t xml:space="preserve"> nedílnou součástí těchto smluv.</w:t>
      </w:r>
    </w:p>
    <w:p w:rsidR="00130BBB" w:rsidRPr="00B933C3" w:rsidRDefault="00130BBB" w:rsidP="00130BBB">
      <w:pPr>
        <w:numPr>
          <w:ilvl w:val="0"/>
          <w:numId w:val="2"/>
        </w:numPr>
        <w:tabs>
          <w:tab w:val="num" w:pos="426"/>
        </w:tabs>
        <w:ind w:left="426" w:hanging="426"/>
        <w:jc w:val="both"/>
        <w:rPr>
          <w:bCs/>
        </w:rPr>
      </w:pPr>
      <w:r w:rsidRPr="00B933C3">
        <w:rPr>
          <w:bCs/>
        </w:rPr>
        <w:t xml:space="preserve">Tento Statut byl schválen Zastupitelstvem města Olomouce dne </w:t>
      </w:r>
      <w:r w:rsidR="00B933C3" w:rsidRPr="00B933C3">
        <w:rPr>
          <w:bCs/>
        </w:rPr>
        <w:t>9. 3. 202</w:t>
      </w:r>
      <w:r w:rsidR="00B933C3">
        <w:rPr>
          <w:bCs/>
        </w:rPr>
        <w:t xml:space="preserve"> </w:t>
      </w:r>
      <w:r w:rsidRPr="00B933C3">
        <w:rPr>
          <w:bCs/>
        </w:rPr>
        <w:t xml:space="preserve">a nabývá účinnosti dnem </w:t>
      </w:r>
      <w:r w:rsidR="00B16BAB" w:rsidRPr="00B933C3">
        <w:rPr>
          <w:bCs/>
        </w:rPr>
        <w:t>15. 3. 2020</w:t>
      </w:r>
      <w:r w:rsidRPr="00B933C3">
        <w:rPr>
          <w:bCs/>
        </w:rPr>
        <w:t xml:space="preserve">. V plném rozsahu nahrazuje Statut schválený Zastupitelstvem města Olomouce dne </w:t>
      </w:r>
      <w:r w:rsidR="00B16BAB" w:rsidRPr="00B933C3">
        <w:rPr>
          <w:bCs/>
        </w:rPr>
        <w:t>11. 9. 2017</w:t>
      </w:r>
      <w:r w:rsidRPr="00B933C3">
        <w:rPr>
          <w:bCs/>
        </w:rPr>
        <w:t>.</w:t>
      </w: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ind w:left="567"/>
        <w:jc w:val="both"/>
        <w:rPr>
          <w:b/>
        </w:rPr>
      </w:pPr>
    </w:p>
    <w:p w:rsidR="00130BBB" w:rsidRDefault="00130BBB" w:rsidP="00130BBB">
      <w:pPr>
        <w:spacing w:before="60"/>
        <w:jc w:val="both"/>
        <w:rPr>
          <w:b/>
        </w:rPr>
      </w:pPr>
      <w:r>
        <w:rPr>
          <w:b/>
        </w:rPr>
        <w:t xml:space="preserve">        ……………………………</w:t>
      </w:r>
      <w:r w:rsidR="00FB14DC">
        <w:rPr>
          <w:b/>
        </w:rPr>
        <w:t>….</w:t>
      </w:r>
      <w:r w:rsidR="00FB14DC">
        <w:rPr>
          <w:b/>
        </w:rPr>
        <w:tab/>
      </w:r>
      <w:r w:rsidR="00FB14DC">
        <w:rPr>
          <w:b/>
        </w:rPr>
        <w:tab/>
      </w:r>
      <w:r w:rsidR="00FB14DC">
        <w:rPr>
          <w:b/>
        </w:rPr>
        <w:tab/>
      </w:r>
      <w:r w:rsidR="00FB14DC">
        <w:rPr>
          <w:b/>
        </w:rPr>
        <w:tab/>
        <w:t>……………………………</w:t>
      </w:r>
      <w:bookmarkStart w:id="0" w:name="_GoBack"/>
      <w:bookmarkEnd w:id="0"/>
    </w:p>
    <w:p w:rsidR="00130BBB" w:rsidRPr="00581675" w:rsidRDefault="00C5767E" w:rsidP="00FB14DC">
      <w:pPr>
        <w:tabs>
          <w:tab w:val="left" w:pos="5670"/>
        </w:tabs>
        <w:spacing w:before="60"/>
        <w:ind w:firstLine="567"/>
        <w:jc w:val="both"/>
      </w:pPr>
      <w:hyperlink r:id="rId9" w:tooltip="Primátor" w:history="1">
        <w:r w:rsidR="00B16BAB" w:rsidRPr="00B933C3">
          <w:t>Mgr.</w:t>
        </w:r>
      </w:hyperlink>
      <w:r w:rsidR="00B16BAB" w:rsidRPr="00B933C3">
        <w:t xml:space="preserve"> Miroslav </w:t>
      </w:r>
      <w:proofErr w:type="spellStart"/>
      <w:r w:rsidR="00B16BAB" w:rsidRPr="00B933C3">
        <w:t>Žbánek</w:t>
      </w:r>
      <w:proofErr w:type="spellEnd"/>
      <w:r w:rsidR="00B16BAB" w:rsidRPr="00B933C3">
        <w:t>, MPA</w:t>
      </w:r>
      <w:r w:rsidR="00FB14DC">
        <w:tab/>
      </w:r>
      <w:hyperlink r:id="rId10" w:tooltip="Rada města" w:history="1">
        <w:r w:rsidR="00130BBB" w:rsidRPr="00581675">
          <w:t>JUDr. Martin Major, MBA</w:t>
        </w:r>
      </w:hyperlink>
    </w:p>
    <w:p w:rsidR="00130BBB" w:rsidRPr="005F7CAE" w:rsidRDefault="00FB14DC" w:rsidP="00FB14DC">
      <w:pPr>
        <w:tabs>
          <w:tab w:val="left" w:pos="5670"/>
        </w:tabs>
        <w:ind w:left="567"/>
        <w:jc w:val="both"/>
        <w:rPr>
          <w:b/>
        </w:rPr>
      </w:pPr>
      <w:r>
        <w:t>primátor</w:t>
      </w:r>
      <w:r>
        <w:tab/>
      </w:r>
      <w:r w:rsidR="00130BBB" w:rsidRPr="005F7CAE">
        <w:t>1. náměstek primátora</w:t>
      </w:r>
    </w:p>
    <w:p w:rsidR="00130BBB" w:rsidRDefault="00130BBB" w:rsidP="00130BBB">
      <w:pPr>
        <w:spacing w:before="60"/>
      </w:pPr>
    </w:p>
    <w:p w:rsidR="00130BBB" w:rsidRPr="00477B5C" w:rsidRDefault="00130BBB" w:rsidP="00130BBB">
      <w:pPr>
        <w:jc w:val="both"/>
        <w:rPr>
          <w:rFonts w:ascii="Cambria" w:hAnsi="Cambria"/>
          <w:sz w:val="26"/>
          <w:szCs w:val="26"/>
        </w:rPr>
      </w:pPr>
    </w:p>
    <w:p w:rsidR="003D2FF4" w:rsidRDefault="003D2FF4"/>
    <w:sectPr w:rsidR="003D2FF4" w:rsidSect="00130BBB">
      <w:footerReference w:type="default" r:id="rId11"/>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7E" w:rsidRDefault="00C5767E" w:rsidP="00130BBB">
      <w:r>
        <w:separator/>
      </w:r>
    </w:p>
  </w:endnote>
  <w:endnote w:type="continuationSeparator" w:id="0">
    <w:p w:rsidR="00C5767E" w:rsidRDefault="00C5767E" w:rsidP="0013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939938"/>
      <w:docPartObj>
        <w:docPartGallery w:val="Page Numbers (Bottom of Page)"/>
        <w:docPartUnique/>
      </w:docPartObj>
    </w:sdtPr>
    <w:sdtEndPr/>
    <w:sdtContent>
      <w:p w:rsidR="00130BBB" w:rsidRDefault="00130BBB">
        <w:pPr>
          <w:pStyle w:val="Zpat"/>
          <w:jc w:val="center"/>
        </w:pPr>
        <w:r>
          <w:fldChar w:fldCharType="begin"/>
        </w:r>
        <w:r>
          <w:instrText>PAGE   \* MERGEFORMAT</w:instrText>
        </w:r>
        <w:r>
          <w:fldChar w:fldCharType="separate"/>
        </w:r>
        <w:r w:rsidR="00FB14DC">
          <w:rPr>
            <w:noProof/>
          </w:rPr>
          <w:t>3</w:t>
        </w:r>
        <w:r>
          <w:fldChar w:fldCharType="end"/>
        </w:r>
      </w:p>
    </w:sdtContent>
  </w:sdt>
  <w:p w:rsidR="00130BBB" w:rsidRDefault="00130B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7E" w:rsidRDefault="00C5767E" w:rsidP="00130BBB">
      <w:r>
        <w:separator/>
      </w:r>
    </w:p>
  </w:footnote>
  <w:footnote w:type="continuationSeparator" w:id="0">
    <w:p w:rsidR="00C5767E" w:rsidRDefault="00C5767E" w:rsidP="0013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AE"/>
    <w:multiLevelType w:val="singleLevel"/>
    <w:tmpl w:val="04050011"/>
    <w:lvl w:ilvl="0">
      <w:start w:val="2"/>
      <w:numFmt w:val="decimal"/>
      <w:lvlText w:val="%1)"/>
      <w:lvlJc w:val="left"/>
      <w:pPr>
        <w:tabs>
          <w:tab w:val="num" w:pos="360"/>
        </w:tabs>
        <w:ind w:left="360" w:hanging="360"/>
      </w:pPr>
      <w:rPr>
        <w:rFonts w:hint="default"/>
      </w:rPr>
    </w:lvl>
  </w:abstractNum>
  <w:abstractNum w:abstractNumId="1">
    <w:nsid w:val="05AC4FAF"/>
    <w:multiLevelType w:val="singleLevel"/>
    <w:tmpl w:val="6C1A892E"/>
    <w:lvl w:ilvl="0">
      <w:start w:val="1"/>
      <w:numFmt w:val="decimal"/>
      <w:lvlText w:val="%1)"/>
      <w:lvlJc w:val="left"/>
      <w:pPr>
        <w:tabs>
          <w:tab w:val="num" w:pos="643"/>
        </w:tabs>
        <w:ind w:left="643" w:hanging="360"/>
      </w:pPr>
      <w:rPr>
        <w:rFonts w:hint="default"/>
      </w:rPr>
    </w:lvl>
  </w:abstractNum>
  <w:abstractNum w:abstractNumId="2">
    <w:nsid w:val="0EDD61E9"/>
    <w:multiLevelType w:val="singleLevel"/>
    <w:tmpl w:val="D3C605A6"/>
    <w:lvl w:ilvl="0">
      <w:start w:val="1"/>
      <w:numFmt w:val="lowerLetter"/>
      <w:lvlText w:val="%1)"/>
      <w:lvlJc w:val="left"/>
      <w:pPr>
        <w:tabs>
          <w:tab w:val="num" w:pos="1260"/>
        </w:tabs>
        <w:ind w:left="1260" w:hanging="360"/>
      </w:pPr>
      <w:rPr>
        <w:b w:val="0"/>
        <w:i w:val="0"/>
        <w:u w:val="none"/>
      </w:rPr>
    </w:lvl>
  </w:abstractNum>
  <w:abstractNum w:abstractNumId="3">
    <w:nsid w:val="19F46A75"/>
    <w:multiLevelType w:val="singleLevel"/>
    <w:tmpl w:val="DD4AF16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3CB5EF0"/>
    <w:multiLevelType w:val="hybridMultilevel"/>
    <w:tmpl w:val="4E84AD50"/>
    <w:lvl w:ilvl="0" w:tplc="301CF2CC">
      <w:start w:val="1"/>
      <w:numFmt w:val="decimal"/>
      <w:lvlText w:val="%1)"/>
      <w:lvlJc w:val="left"/>
      <w:pPr>
        <w:tabs>
          <w:tab w:val="num" w:pos="927"/>
        </w:tabs>
        <w:ind w:left="927" w:hanging="360"/>
      </w:pPr>
      <w:rPr>
        <w:rFonts w:hint="default"/>
      </w:rPr>
    </w:lvl>
    <w:lvl w:ilvl="1" w:tplc="04050001">
      <w:start w:val="1"/>
      <w:numFmt w:val="bullet"/>
      <w:lvlText w:val=""/>
      <w:lvlJc w:val="left"/>
      <w:pPr>
        <w:tabs>
          <w:tab w:val="num" w:pos="1647"/>
        </w:tabs>
        <w:ind w:left="1647" w:hanging="360"/>
      </w:pPr>
      <w:rPr>
        <w:rFonts w:ascii="Symbol" w:hAnsi="Symbol" w:hint="default"/>
      </w:rPr>
    </w:lvl>
    <w:lvl w:ilvl="2" w:tplc="0405001B">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5">
    <w:nsid w:val="345A1EC3"/>
    <w:multiLevelType w:val="hybridMultilevel"/>
    <w:tmpl w:val="D2A2294E"/>
    <w:lvl w:ilvl="0" w:tplc="DC9E5B16">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579"/>
        </w:tabs>
        <w:ind w:left="579" w:hanging="360"/>
      </w:pPr>
    </w:lvl>
    <w:lvl w:ilvl="2" w:tplc="0405001B" w:tentative="1">
      <w:start w:val="1"/>
      <w:numFmt w:val="lowerRoman"/>
      <w:lvlText w:val="%3."/>
      <w:lvlJc w:val="right"/>
      <w:pPr>
        <w:tabs>
          <w:tab w:val="num" w:pos="1299"/>
        </w:tabs>
        <w:ind w:left="1299" w:hanging="180"/>
      </w:pPr>
    </w:lvl>
    <w:lvl w:ilvl="3" w:tplc="0405000F" w:tentative="1">
      <w:start w:val="1"/>
      <w:numFmt w:val="decimal"/>
      <w:lvlText w:val="%4."/>
      <w:lvlJc w:val="left"/>
      <w:pPr>
        <w:tabs>
          <w:tab w:val="num" w:pos="2019"/>
        </w:tabs>
        <w:ind w:left="2019" w:hanging="360"/>
      </w:pPr>
    </w:lvl>
    <w:lvl w:ilvl="4" w:tplc="04050019" w:tentative="1">
      <w:start w:val="1"/>
      <w:numFmt w:val="lowerLetter"/>
      <w:lvlText w:val="%5."/>
      <w:lvlJc w:val="left"/>
      <w:pPr>
        <w:tabs>
          <w:tab w:val="num" w:pos="2739"/>
        </w:tabs>
        <w:ind w:left="2739" w:hanging="360"/>
      </w:pPr>
    </w:lvl>
    <w:lvl w:ilvl="5" w:tplc="0405001B" w:tentative="1">
      <w:start w:val="1"/>
      <w:numFmt w:val="lowerRoman"/>
      <w:lvlText w:val="%6."/>
      <w:lvlJc w:val="right"/>
      <w:pPr>
        <w:tabs>
          <w:tab w:val="num" w:pos="3459"/>
        </w:tabs>
        <w:ind w:left="3459" w:hanging="180"/>
      </w:pPr>
    </w:lvl>
    <w:lvl w:ilvl="6" w:tplc="0405000F" w:tentative="1">
      <w:start w:val="1"/>
      <w:numFmt w:val="decimal"/>
      <w:lvlText w:val="%7."/>
      <w:lvlJc w:val="left"/>
      <w:pPr>
        <w:tabs>
          <w:tab w:val="num" w:pos="4179"/>
        </w:tabs>
        <w:ind w:left="4179" w:hanging="360"/>
      </w:pPr>
    </w:lvl>
    <w:lvl w:ilvl="7" w:tplc="04050019" w:tentative="1">
      <w:start w:val="1"/>
      <w:numFmt w:val="lowerLetter"/>
      <w:lvlText w:val="%8."/>
      <w:lvlJc w:val="left"/>
      <w:pPr>
        <w:tabs>
          <w:tab w:val="num" w:pos="4899"/>
        </w:tabs>
        <w:ind w:left="4899" w:hanging="360"/>
      </w:pPr>
    </w:lvl>
    <w:lvl w:ilvl="8" w:tplc="0405001B" w:tentative="1">
      <w:start w:val="1"/>
      <w:numFmt w:val="lowerRoman"/>
      <w:lvlText w:val="%9."/>
      <w:lvlJc w:val="right"/>
      <w:pPr>
        <w:tabs>
          <w:tab w:val="num" w:pos="5619"/>
        </w:tabs>
        <w:ind w:left="5619" w:hanging="180"/>
      </w:pPr>
    </w:lvl>
  </w:abstractNum>
  <w:abstractNum w:abstractNumId="6">
    <w:nsid w:val="4A585AFD"/>
    <w:multiLevelType w:val="singleLevel"/>
    <w:tmpl w:val="12BABF3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74F22F48"/>
    <w:multiLevelType w:val="singleLevel"/>
    <w:tmpl w:val="04050011"/>
    <w:lvl w:ilvl="0">
      <w:start w:val="1"/>
      <w:numFmt w:val="decimal"/>
      <w:lvlText w:val="%1)"/>
      <w:lvlJc w:val="left"/>
      <w:pPr>
        <w:tabs>
          <w:tab w:val="num" w:pos="360"/>
        </w:tabs>
        <w:ind w:left="360" w:hanging="360"/>
      </w:pPr>
      <w:rPr>
        <w:rFonts w:hint="default"/>
      </w:rPr>
    </w:lvl>
  </w:abstractNum>
  <w:abstractNum w:abstractNumId="8">
    <w:nsid w:val="77E01BA0"/>
    <w:multiLevelType w:val="singleLevel"/>
    <w:tmpl w:val="1CD69938"/>
    <w:lvl w:ilvl="0">
      <w:start w:val="1"/>
      <w:numFmt w:val="decimal"/>
      <w:lvlText w:val="%1)"/>
      <w:lvlJc w:val="left"/>
      <w:pPr>
        <w:tabs>
          <w:tab w:val="num" w:pos="567"/>
        </w:tabs>
        <w:ind w:left="567" w:hanging="360"/>
      </w:pPr>
      <w:rPr>
        <w:rFonts w:hint="default"/>
      </w:rPr>
    </w:lvl>
  </w:abstractNum>
  <w:num w:numId="1">
    <w:abstractNumId w:val="3"/>
  </w:num>
  <w:num w:numId="2">
    <w:abstractNumId w:val="6"/>
  </w:num>
  <w:num w:numId="3">
    <w:abstractNumId w:val="7"/>
  </w:num>
  <w:num w:numId="4">
    <w:abstractNumId w:val="1"/>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BB"/>
    <w:rsid w:val="00005AEB"/>
    <w:rsid w:val="00130BBB"/>
    <w:rsid w:val="00386905"/>
    <w:rsid w:val="003D2FF4"/>
    <w:rsid w:val="004E6B32"/>
    <w:rsid w:val="0055352C"/>
    <w:rsid w:val="0063052B"/>
    <w:rsid w:val="006A297F"/>
    <w:rsid w:val="00956C99"/>
    <w:rsid w:val="00967BE8"/>
    <w:rsid w:val="00B16BAB"/>
    <w:rsid w:val="00B933C3"/>
    <w:rsid w:val="00BF7D12"/>
    <w:rsid w:val="00C5767E"/>
    <w:rsid w:val="00D013E7"/>
    <w:rsid w:val="00E00BB5"/>
    <w:rsid w:val="00E6543C"/>
    <w:rsid w:val="00F07BDF"/>
    <w:rsid w:val="00FA1A84"/>
    <w:rsid w:val="00FB14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BBB"/>
    <w:pPr>
      <w:spacing w:after="0" w:line="240" w:lineRule="auto"/>
    </w:pPr>
    <w:rPr>
      <w:rFonts w:ascii="Times New Roman" w:eastAsia="Times New Roman" w:hAnsi="Times New Roman" w:cs="Times New Roman"/>
      <w:lang w:eastAsia="cs-CZ"/>
    </w:rPr>
  </w:style>
  <w:style w:type="paragraph" w:styleId="Nadpis3">
    <w:name w:val="heading 3"/>
    <w:basedOn w:val="Normln"/>
    <w:next w:val="Normln"/>
    <w:link w:val="Nadpis3Char"/>
    <w:qFormat/>
    <w:rsid w:val="00130BBB"/>
    <w:pPr>
      <w:keepNext/>
      <w:widowControl w:val="0"/>
      <w:jc w:val="both"/>
      <w:outlineLvl w:val="2"/>
    </w:pPr>
    <w:rPr>
      <w:b/>
      <w:sz w:val="28"/>
      <w:szCs w:val="20"/>
    </w:rPr>
  </w:style>
  <w:style w:type="paragraph" w:styleId="Nadpis4">
    <w:name w:val="heading 4"/>
    <w:basedOn w:val="Normln"/>
    <w:next w:val="Normln"/>
    <w:link w:val="Nadpis4Char"/>
    <w:qFormat/>
    <w:rsid w:val="00130BBB"/>
    <w:pPr>
      <w:keepNext/>
      <w:spacing w:before="60"/>
      <w:jc w:val="center"/>
      <w:outlineLvl w:val="3"/>
    </w:pPr>
    <w:rPr>
      <w:b/>
      <w:bCs/>
      <w:iCs/>
      <w:color w:val="FF0000"/>
      <w:sz w:val="24"/>
      <w:szCs w:val="24"/>
    </w:rPr>
  </w:style>
  <w:style w:type="paragraph" w:styleId="Nadpis7">
    <w:name w:val="heading 7"/>
    <w:basedOn w:val="Normln"/>
    <w:next w:val="Normln"/>
    <w:link w:val="Nadpis7Char"/>
    <w:qFormat/>
    <w:rsid w:val="00130BBB"/>
    <w:pPr>
      <w:keepNext/>
      <w:jc w:val="both"/>
      <w:outlineLvl w:val="6"/>
    </w:pPr>
    <w:rPr>
      <w:b/>
      <w:sz w:val="24"/>
      <w:szCs w:val="20"/>
    </w:rPr>
  </w:style>
  <w:style w:type="paragraph" w:styleId="Nadpis8">
    <w:name w:val="heading 8"/>
    <w:basedOn w:val="Normln"/>
    <w:next w:val="Normln"/>
    <w:link w:val="Nadpis8Char"/>
    <w:qFormat/>
    <w:rsid w:val="00130BBB"/>
    <w:pPr>
      <w:keepNext/>
      <w:spacing w:before="60"/>
      <w:ind w:left="567"/>
      <w:jc w:val="center"/>
      <w:outlineLvl w:val="7"/>
    </w:pPr>
    <w:rPr>
      <w:i/>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30BBB"/>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rsid w:val="00130BBB"/>
    <w:rPr>
      <w:rFonts w:ascii="Times New Roman" w:eastAsia="Times New Roman" w:hAnsi="Times New Roman" w:cs="Times New Roman"/>
      <w:b/>
      <w:bCs/>
      <w:iCs/>
      <w:color w:val="FF0000"/>
      <w:sz w:val="24"/>
      <w:szCs w:val="24"/>
      <w:lang w:eastAsia="cs-CZ"/>
    </w:rPr>
  </w:style>
  <w:style w:type="character" w:customStyle="1" w:styleId="Nadpis7Char">
    <w:name w:val="Nadpis 7 Char"/>
    <w:basedOn w:val="Standardnpsmoodstavce"/>
    <w:link w:val="Nadpis7"/>
    <w:rsid w:val="00130BBB"/>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130BBB"/>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130BBB"/>
    <w:pPr>
      <w:widowControl w:val="0"/>
      <w:jc w:val="center"/>
    </w:pPr>
    <w:rPr>
      <w:b/>
      <w:sz w:val="36"/>
      <w:szCs w:val="20"/>
    </w:rPr>
  </w:style>
  <w:style w:type="character" w:customStyle="1" w:styleId="Zkladntext2Char">
    <w:name w:val="Základní text 2 Char"/>
    <w:basedOn w:val="Standardnpsmoodstavce"/>
    <w:link w:val="Zkladntext2"/>
    <w:rsid w:val="00130BBB"/>
    <w:rPr>
      <w:rFonts w:ascii="Times New Roman" w:eastAsia="Times New Roman" w:hAnsi="Times New Roman" w:cs="Times New Roman"/>
      <w:b/>
      <w:sz w:val="36"/>
      <w:szCs w:val="20"/>
      <w:lang w:eastAsia="cs-CZ"/>
    </w:rPr>
  </w:style>
  <w:style w:type="paragraph" w:styleId="Zkladntext">
    <w:name w:val="Body Text"/>
    <w:basedOn w:val="Normln"/>
    <w:link w:val="ZkladntextChar"/>
    <w:rsid w:val="00130BBB"/>
    <w:pPr>
      <w:widowControl w:val="0"/>
      <w:jc w:val="both"/>
    </w:pPr>
    <w:rPr>
      <w:sz w:val="24"/>
      <w:szCs w:val="20"/>
    </w:rPr>
  </w:style>
  <w:style w:type="character" w:customStyle="1" w:styleId="ZkladntextChar">
    <w:name w:val="Základní text Char"/>
    <w:basedOn w:val="Standardnpsmoodstavce"/>
    <w:link w:val="Zkladntext"/>
    <w:rsid w:val="00130BBB"/>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130BBB"/>
    <w:pPr>
      <w:tabs>
        <w:tab w:val="center" w:pos="4536"/>
        <w:tab w:val="right" w:pos="9072"/>
      </w:tabs>
    </w:pPr>
  </w:style>
  <w:style w:type="character" w:customStyle="1" w:styleId="ZhlavChar">
    <w:name w:val="Záhlaví Char"/>
    <w:basedOn w:val="Standardnpsmoodstavce"/>
    <w:link w:val="Zhlav"/>
    <w:uiPriority w:val="99"/>
    <w:rsid w:val="00130BBB"/>
    <w:rPr>
      <w:rFonts w:ascii="Times New Roman" w:eastAsia="Times New Roman" w:hAnsi="Times New Roman" w:cs="Times New Roman"/>
      <w:lang w:eastAsia="cs-CZ"/>
    </w:rPr>
  </w:style>
  <w:style w:type="paragraph" w:styleId="Zpat">
    <w:name w:val="footer"/>
    <w:basedOn w:val="Normln"/>
    <w:link w:val="ZpatChar"/>
    <w:uiPriority w:val="99"/>
    <w:unhideWhenUsed/>
    <w:rsid w:val="00130BBB"/>
    <w:pPr>
      <w:tabs>
        <w:tab w:val="center" w:pos="4536"/>
        <w:tab w:val="right" w:pos="9072"/>
      </w:tabs>
    </w:pPr>
  </w:style>
  <w:style w:type="character" w:customStyle="1" w:styleId="ZpatChar">
    <w:name w:val="Zápatí Char"/>
    <w:basedOn w:val="Standardnpsmoodstavce"/>
    <w:link w:val="Zpat"/>
    <w:uiPriority w:val="99"/>
    <w:rsid w:val="00130BB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16BAB"/>
    <w:rPr>
      <w:rFonts w:ascii="Tahoma" w:hAnsi="Tahoma" w:cs="Tahoma"/>
      <w:sz w:val="16"/>
      <w:szCs w:val="16"/>
    </w:rPr>
  </w:style>
  <w:style w:type="character" w:customStyle="1" w:styleId="TextbublinyChar">
    <w:name w:val="Text bubliny Char"/>
    <w:basedOn w:val="Standardnpsmoodstavce"/>
    <w:link w:val="Textbubliny"/>
    <w:uiPriority w:val="99"/>
    <w:semiHidden/>
    <w:rsid w:val="00B16BA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BBB"/>
    <w:pPr>
      <w:spacing w:after="0" w:line="240" w:lineRule="auto"/>
    </w:pPr>
    <w:rPr>
      <w:rFonts w:ascii="Times New Roman" w:eastAsia="Times New Roman" w:hAnsi="Times New Roman" w:cs="Times New Roman"/>
      <w:lang w:eastAsia="cs-CZ"/>
    </w:rPr>
  </w:style>
  <w:style w:type="paragraph" w:styleId="Nadpis3">
    <w:name w:val="heading 3"/>
    <w:basedOn w:val="Normln"/>
    <w:next w:val="Normln"/>
    <w:link w:val="Nadpis3Char"/>
    <w:qFormat/>
    <w:rsid w:val="00130BBB"/>
    <w:pPr>
      <w:keepNext/>
      <w:widowControl w:val="0"/>
      <w:jc w:val="both"/>
      <w:outlineLvl w:val="2"/>
    </w:pPr>
    <w:rPr>
      <w:b/>
      <w:sz w:val="28"/>
      <w:szCs w:val="20"/>
    </w:rPr>
  </w:style>
  <w:style w:type="paragraph" w:styleId="Nadpis4">
    <w:name w:val="heading 4"/>
    <w:basedOn w:val="Normln"/>
    <w:next w:val="Normln"/>
    <w:link w:val="Nadpis4Char"/>
    <w:qFormat/>
    <w:rsid w:val="00130BBB"/>
    <w:pPr>
      <w:keepNext/>
      <w:spacing w:before="60"/>
      <w:jc w:val="center"/>
      <w:outlineLvl w:val="3"/>
    </w:pPr>
    <w:rPr>
      <w:b/>
      <w:bCs/>
      <w:iCs/>
      <w:color w:val="FF0000"/>
      <w:sz w:val="24"/>
      <w:szCs w:val="24"/>
    </w:rPr>
  </w:style>
  <w:style w:type="paragraph" w:styleId="Nadpis7">
    <w:name w:val="heading 7"/>
    <w:basedOn w:val="Normln"/>
    <w:next w:val="Normln"/>
    <w:link w:val="Nadpis7Char"/>
    <w:qFormat/>
    <w:rsid w:val="00130BBB"/>
    <w:pPr>
      <w:keepNext/>
      <w:jc w:val="both"/>
      <w:outlineLvl w:val="6"/>
    </w:pPr>
    <w:rPr>
      <w:b/>
      <w:sz w:val="24"/>
      <w:szCs w:val="20"/>
    </w:rPr>
  </w:style>
  <w:style w:type="paragraph" w:styleId="Nadpis8">
    <w:name w:val="heading 8"/>
    <w:basedOn w:val="Normln"/>
    <w:next w:val="Normln"/>
    <w:link w:val="Nadpis8Char"/>
    <w:qFormat/>
    <w:rsid w:val="00130BBB"/>
    <w:pPr>
      <w:keepNext/>
      <w:spacing w:before="60"/>
      <w:ind w:left="567"/>
      <w:jc w:val="center"/>
      <w:outlineLvl w:val="7"/>
    </w:pPr>
    <w:rPr>
      <w:i/>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30BBB"/>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rsid w:val="00130BBB"/>
    <w:rPr>
      <w:rFonts w:ascii="Times New Roman" w:eastAsia="Times New Roman" w:hAnsi="Times New Roman" w:cs="Times New Roman"/>
      <w:b/>
      <w:bCs/>
      <w:iCs/>
      <w:color w:val="FF0000"/>
      <w:sz w:val="24"/>
      <w:szCs w:val="24"/>
      <w:lang w:eastAsia="cs-CZ"/>
    </w:rPr>
  </w:style>
  <w:style w:type="character" w:customStyle="1" w:styleId="Nadpis7Char">
    <w:name w:val="Nadpis 7 Char"/>
    <w:basedOn w:val="Standardnpsmoodstavce"/>
    <w:link w:val="Nadpis7"/>
    <w:rsid w:val="00130BBB"/>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130BBB"/>
    <w:rPr>
      <w:rFonts w:ascii="Times New Roman" w:eastAsia="Times New Roman" w:hAnsi="Times New Roman" w:cs="Times New Roman"/>
      <w:i/>
      <w:sz w:val="24"/>
      <w:szCs w:val="20"/>
      <w:lang w:eastAsia="cs-CZ"/>
    </w:rPr>
  </w:style>
  <w:style w:type="paragraph" w:styleId="Zkladntext2">
    <w:name w:val="Body Text 2"/>
    <w:basedOn w:val="Normln"/>
    <w:link w:val="Zkladntext2Char"/>
    <w:rsid w:val="00130BBB"/>
    <w:pPr>
      <w:widowControl w:val="0"/>
      <w:jc w:val="center"/>
    </w:pPr>
    <w:rPr>
      <w:b/>
      <w:sz w:val="36"/>
      <w:szCs w:val="20"/>
    </w:rPr>
  </w:style>
  <w:style w:type="character" w:customStyle="1" w:styleId="Zkladntext2Char">
    <w:name w:val="Základní text 2 Char"/>
    <w:basedOn w:val="Standardnpsmoodstavce"/>
    <w:link w:val="Zkladntext2"/>
    <w:rsid w:val="00130BBB"/>
    <w:rPr>
      <w:rFonts w:ascii="Times New Roman" w:eastAsia="Times New Roman" w:hAnsi="Times New Roman" w:cs="Times New Roman"/>
      <w:b/>
      <w:sz w:val="36"/>
      <w:szCs w:val="20"/>
      <w:lang w:eastAsia="cs-CZ"/>
    </w:rPr>
  </w:style>
  <w:style w:type="paragraph" w:styleId="Zkladntext">
    <w:name w:val="Body Text"/>
    <w:basedOn w:val="Normln"/>
    <w:link w:val="ZkladntextChar"/>
    <w:rsid w:val="00130BBB"/>
    <w:pPr>
      <w:widowControl w:val="0"/>
      <w:jc w:val="both"/>
    </w:pPr>
    <w:rPr>
      <w:sz w:val="24"/>
      <w:szCs w:val="20"/>
    </w:rPr>
  </w:style>
  <w:style w:type="character" w:customStyle="1" w:styleId="ZkladntextChar">
    <w:name w:val="Základní text Char"/>
    <w:basedOn w:val="Standardnpsmoodstavce"/>
    <w:link w:val="Zkladntext"/>
    <w:rsid w:val="00130BBB"/>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130BBB"/>
    <w:pPr>
      <w:tabs>
        <w:tab w:val="center" w:pos="4536"/>
        <w:tab w:val="right" w:pos="9072"/>
      </w:tabs>
    </w:pPr>
  </w:style>
  <w:style w:type="character" w:customStyle="1" w:styleId="ZhlavChar">
    <w:name w:val="Záhlaví Char"/>
    <w:basedOn w:val="Standardnpsmoodstavce"/>
    <w:link w:val="Zhlav"/>
    <w:uiPriority w:val="99"/>
    <w:rsid w:val="00130BBB"/>
    <w:rPr>
      <w:rFonts w:ascii="Times New Roman" w:eastAsia="Times New Roman" w:hAnsi="Times New Roman" w:cs="Times New Roman"/>
      <w:lang w:eastAsia="cs-CZ"/>
    </w:rPr>
  </w:style>
  <w:style w:type="paragraph" w:styleId="Zpat">
    <w:name w:val="footer"/>
    <w:basedOn w:val="Normln"/>
    <w:link w:val="ZpatChar"/>
    <w:uiPriority w:val="99"/>
    <w:unhideWhenUsed/>
    <w:rsid w:val="00130BBB"/>
    <w:pPr>
      <w:tabs>
        <w:tab w:val="center" w:pos="4536"/>
        <w:tab w:val="right" w:pos="9072"/>
      </w:tabs>
    </w:pPr>
  </w:style>
  <w:style w:type="character" w:customStyle="1" w:styleId="ZpatChar">
    <w:name w:val="Zápatí Char"/>
    <w:basedOn w:val="Standardnpsmoodstavce"/>
    <w:link w:val="Zpat"/>
    <w:uiPriority w:val="99"/>
    <w:rsid w:val="00130BB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16BAB"/>
    <w:rPr>
      <w:rFonts w:ascii="Tahoma" w:hAnsi="Tahoma" w:cs="Tahoma"/>
      <w:sz w:val="16"/>
      <w:szCs w:val="16"/>
    </w:rPr>
  </w:style>
  <w:style w:type="character" w:customStyle="1" w:styleId="TextbublinyChar">
    <w:name w:val="Text bubliny Char"/>
    <w:basedOn w:val="Standardnpsmoodstavce"/>
    <w:link w:val="Textbubliny"/>
    <w:uiPriority w:val="99"/>
    <w:semiHidden/>
    <w:rsid w:val="00B16BA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lomouc.eu/samosprava/rada-mesta/article_id=11842" TargetMode="External"/><Relationship Id="rId4" Type="http://schemas.microsoft.com/office/2007/relationships/stylesWithEffects" Target="stylesWithEffects.xml"/><Relationship Id="rId9" Type="http://schemas.openxmlformats.org/officeDocument/2006/relationships/hyperlink" Target="http://www.olomouc.eu/samosprava/primato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299-B1D3-43D0-8ABF-5061552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Vecja</dc:creator>
  <cp:lastModifiedBy>Vecja</cp:lastModifiedBy>
  <cp:revision>3</cp:revision>
  <cp:lastPrinted>2020-08-24T10:15:00Z</cp:lastPrinted>
  <dcterms:created xsi:type="dcterms:W3CDTF">2020-08-24T11:06:00Z</dcterms:created>
  <dcterms:modified xsi:type="dcterms:W3CDTF">2020-08-24T11:54:00Z</dcterms:modified>
</cp:coreProperties>
</file>